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4B" w:rsidRPr="00AB5A4B" w:rsidRDefault="00AB5A4B" w:rsidP="00AB5A4B">
      <w:pPr>
        <w:jc w:val="center"/>
        <w:rPr>
          <w:b/>
        </w:rPr>
      </w:pPr>
      <w:r w:rsidRPr="00AB5A4B">
        <w:rPr>
          <w:b/>
        </w:rPr>
        <w:t>ИНСТРУКЦИЯ</w:t>
      </w:r>
    </w:p>
    <w:p w:rsidR="00AB5A4B" w:rsidRPr="00AB5A4B" w:rsidRDefault="00AB5A4B" w:rsidP="00AB5A4B">
      <w:pPr>
        <w:jc w:val="center"/>
        <w:rPr>
          <w:b/>
        </w:rPr>
      </w:pPr>
      <w:r w:rsidRPr="00AB5A4B">
        <w:rPr>
          <w:b/>
        </w:rPr>
        <w:t>по медицинскому применению препарата</w:t>
      </w:r>
    </w:p>
    <w:p w:rsidR="00AB5A4B" w:rsidRPr="00AB5A4B" w:rsidRDefault="00AB5A4B" w:rsidP="00AB5A4B">
      <w:pPr>
        <w:jc w:val="center"/>
        <w:rPr>
          <w:b/>
          <w:sz w:val="28"/>
          <w:szCs w:val="28"/>
        </w:rPr>
      </w:pPr>
      <w:r w:rsidRPr="00AB5A4B">
        <w:rPr>
          <w:b/>
          <w:sz w:val="28"/>
          <w:szCs w:val="28"/>
        </w:rPr>
        <w:t>АГВИЦИН-500</w:t>
      </w:r>
    </w:p>
    <w:p w:rsidR="00AB5A4B" w:rsidRPr="00AB5A4B" w:rsidRDefault="00AB5A4B" w:rsidP="00AB5A4B">
      <w:pPr>
        <w:jc w:val="center"/>
        <w:rPr>
          <w:b/>
        </w:rPr>
      </w:pPr>
    </w:p>
    <w:p w:rsidR="00AB5A4B" w:rsidRPr="00AB5A4B" w:rsidRDefault="00AB5A4B" w:rsidP="00AB5A4B">
      <w:r w:rsidRPr="00AB5A4B">
        <w:rPr>
          <w:b/>
        </w:rPr>
        <w:t>Торговое название:</w:t>
      </w:r>
      <w:r w:rsidRPr="00AB5A4B">
        <w:t xml:space="preserve"> Агвицин-500</w:t>
      </w:r>
    </w:p>
    <w:p w:rsidR="00AB5A4B" w:rsidRPr="00AB5A4B" w:rsidRDefault="00AB5A4B" w:rsidP="00AB5A4B">
      <w:r w:rsidRPr="00AB5A4B">
        <w:rPr>
          <w:b/>
        </w:rPr>
        <w:t>Международное непатентованное название:</w:t>
      </w:r>
      <w:r w:rsidRPr="00AB5A4B">
        <w:t xml:space="preserve"> </w:t>
      </w:r>
      <w:proofErr w:type="spellStart"/>
      <w:r w:rsidRPr="00AB5A4B">
        <w:t>Амикацин</w:t>
      </w:r>
      <w:proofErr w:type="spellEnd"/>
      <w:r w:rsidRPr="00AB5A4B">
        <w:br/>
      </w:r>
      <w:r w:rsidRPr="00AB5A4B">
        <w:rPr>
          <w:b/>
        </w:rPr>
        <w:t>Лекарственная форма:</w:t>
      </w:r>
      <w:r w:rsidRPr="00AB5A4B">
        <w:t xml:space="preserve"> раствор для инъекций</w:t>
      </w:r>
    </w:p>
    <w:p w:rsidR="00AB5A4B" w:rsidRPr="00AB5A4B" w:rsidRDefault="00AB5A4B" w:rsidP="00AB5A4B">
      <w:pPr>
        <w:rPr>
          <w:b/>
        </w:rPr>
      </w:pPr>
      <w:r w:rsidRPr="00AB5A4B">
        <w:rPr>
          <w:b/>
        </w:rPr>
        <w:t xml:space="preserve">Состав:  </w:t>
      </w:r>
      <w:r w:rsidRPr="00AB5A4B">
        <w:t>1 флакон  (2мл) раствора для инъекций содержит:</w:t>
      </w:r>
    </w:p>
    <w:p w:rsidR="00AB5A4B" w:rsidRPr="00AB5A4B" w:rsidRDefault="00AB5A4B" w:rsidP="00AB5A4B">
      <w:r w:rsidRPr="00AB5A4B">
        <w:rPr>
          <w:i/>
        </w:rPr>
        <w:t>Активное вещество</w:t>
      </w:r>
      <w:r w:rsidRPr="00AB5A4B">
        <w:t xml:space="preserve"> </w:t>
      </w:r>
      <w:proofErr w:type="spellStart"/>
      <w:r w:rsidRPr="00AB5A4B">
        <w:t>Амикацин</w:t>
      </w:r>
      <w:proofErr w:type="spellEnd"/>
      <w:r w:rsidRPr="00AB5A4B">
        <w:t xml:space="preserve"> (в форме сульфата) 500 мг</w:t>
      </w:r>
    </w:p>
    <w:p w:rsidR="00AB5A4B" w:rsidRPr="00AB5A4B" w:rsidRDefault="00AB5A4B" w:rsidP="00AB5A4B">
      <w:r w:rsidRPr="00AB5A4B">
        <w:rPr>
          <w:i/>
        </w:rPr>
        <w:t>Вспомогательные вещества</w:t>
      </w:r>
      <w:r w:rsidRPr="00AB5A4B">
        <w:t xml:space="preserve"> натрия цитрат 25.00мг, натрия метабисульфит 6.60 мг, </w:t>
      </w:r>
      <w:proofErr w:type="spellStart"/>
      <w:r w:rsidRPr="00AB5A4B">
        <w:t>метилпарабен</w:t>
      </w:r>
      <w:proofErr w:type="spellEnd"/>
      <w:r w:rsidRPr="00AB5A4B">
        <w:t xml:space="preserve"> 0.80 мг, </w:t>
      </w:r>
      <w:proofErr w:type="spellStart"/>
      <w:r w:rsidRPr="00AB5A4B">
        <w:t>пропилпарабен</w:t>
      </w:r>
      <w:proofErr w:type="spellEnd"/>
      <w:r w:rsidRPr="00AB5A4B">
        <w:t xml:space="preserve"> 0.20 мг, вода для инъекций до 2 мл</w:t>
      </w:r>
    </w:p>
    <w:p w:rsidR="00AB5A4B" w:rsidRPr="00AB5A4B" w:rsidRDefault="00AB5A4B" w:rsidP="00AB5A4B">
      <w:r w:rsidRPr="00AB5A4B">
        <w:rPr>
          <w:b/>
        </w:rPr>
        <w:t>Описание:</w:t>
      </w:r>
      <w:r w:rsidRPr="00AB5A4B">
        <w:t xml:space="preserve"> Прозрачный, бесцветный раствор во флаконе объемом 2 мл</w:t>
      </w:r>
    </w:p>
    <w:p w:rsidR="00AB5A4B" w:rsidRPr="00AB5A4B" w:rsidRDefault="00AB5A4B" w:rsidP="00AB5A4B">
      <w:pPr>
        <w:rPr>
          <w:b/>
        </w:rPr>
      </w:pPr>
      <w:r w:rsidRPr="00AB5A4B">
        <w:rPr>
          <w:b/>
        </w:rPr>
        <w:t xml:space="preserve">Фармакотерапевтическая группа: </w:t>
      </w:r>
      <w:r w:rsidRPr="00AB5A4B">
        <w:t xml:space="preserve">Антибиотик группы </w:t>
      </w:r>
      <w:proofErr w:type="spellStart"/>
      <w:r w:rsidRPr="00AB5A4B">
        <w:t>аминогликозидов</w:t>
      </w:r>
      <w:proofErr w:type="spellEnd"/>
      <w:r w:rsidRPr="00AB5A4B">
        <w:t xml:space="preserve"> широкого спектра действия</w:t>
      </w:r>
    </w:p>
    <w:p w:rsidR="00AB5A4B" w:rsidRPr="00F22686" w:rsidRDefault="00AB5A4B" w:rsidP="00AB5A4B">
      <w:pPr>
        <w:rPr>
          <w:b/>
        </w:rPr>
      </w:pPr>
      <w:r w:rsidRPr="00AB5A4B">
        <w:rPr>
          <w:b/>
        </w:rPr>
        <w:t>Код АТХ:</w:t>
      </w:r>
      <w:r w:rsidRPr="00AB5A4B">
        <w:t xml:space="preserve"> J01GB06</w:t>
      </w:r>
      <w:r w:rsidRPr="00AB5A4B">
        <w:br/>
      </w:r>
      <w:r w:rsidRPr="00AB5A4B">
        <w:rPr>
          <w:b/>
        </w:rPr>
        <w:t xml:space="preserve">Фармакологическое действие: </w:t>
      </w:r>
      <w:r w:rsidRPr="00AB5A4B">
        <w:t xml:space="preserve">Полусинтетический антибиотик группы </w:t>
      </w:r>
      <w:proofErr w:type="spellStart"/>
      <w:r w:rsidRPr="00AB5A4B">
        <w:t>аминогликозидов</w:t>
      </w:r>
      <w:proofErr w:type="spellEnd"/>
      <w:r w:rsidRPr="00AB5A4B">
        <w:t xml:space="preserve"> с широким спектром, бактерицидного действия.</w:t>
      </w:r>
      <w:r>
        <w:rPr>
          <w:b/>
        </w:rPr>
        <w:t xml:space="preserve"> </w:t>
      </w:r>
      <w:proofErr w:type="gramStart"/>
      <w:r w:rsidRPr="00AB5A4B">
        <w:t>Высокоэффективен</w:t>
      </w:r>
      <w:proofErr w:type="gramEnd"/>
      <w:r w:rsidRPr="00AB5A4B">
        <w:t xml:space="preserve"> в отношении грамотрицательных микроорганизмов: </w:t>
      </w:r>
      <w:proofErr w:type="spellStart"/>
      <w:r w:rsidRPr="00AB5A4B">
        <w:t>Klebsiella</w:t>
      </w:r>
      <w:proofErr w:type="spellEnd"/>
      <w:r w:rsidRPr="00AB5A4B">
        <w:t xml:space="preserve">, </w:t>
      </w:r>
      <w:proofErr w:type="spellStart"/>
      <w:r w:rsidRPr="00AB5A4B">
        <w:t>Pseudomonas</w:t>
      </w:r>
      <w:proofErr w:type="spellEnd"/>
      <w:r w:rsidRPr="00AB5A4B">
        <w:t xml:space="preserve">, E. </w:t>
      </w:r>
      <w:proofErr w:type="spellStart"/>
      <w:r w:rsidRPr="00AB5A4B">
        <w:t>Coli</w:t>
      </w:r>
      <w:proofErr w:type="spellEnd"/>
      <w:r w:rsidRPr="00AB5A4B">
        <w:t xml:space="preserve">, </w:t>
      </w:r>
      <w:proofErr w:type="spellStart"/>
      <w:r w:rsidRPr="00AB5A4B">
        <w:t>Proteus</w:t>
      </w:r>
      <w:proofErr w:type="spellEnd"/>
      <w:r w:rsidRPr="00AB5A4B">
        <w:t xml:space="preserve">, </w:t>
      </w:r>
      <w:proofErr w:type="spellStart"/>
      <w:r w:rsidRPr="00AB5A4B">
        <w:t>Enterobacter</w:t>
      </w:r>
      <w:proofErr w:type="spellEnd"/>
      <w:r w:rsidRPr="00AB5A4B">
        <w:t xml:space="preserve"> </w:t>
      </w:r>
      <w:proofErr w:type="spellStart"/>
      <w:r w:rsidRPr="00AB5A4B">
        <w:t>Serratia</w:t>
      </w:r>
      <w:proofErr w:type="spellEnd"/>
      <w:r w:rsidRPr="00AB5A4B">
        <w:t xml:space="preserve">, </w:t>
      </w:r>
      <w:proofErr w:type="spellStart"/>
      <w:r w:rsidRPr="00AB5A4B">
        <w:t>Shigella</w:t>
      </w:r>
      <w:proofErr w:type="spellEnd"/>
      <w:r w:rsidRPr="00AB5A4B">
        <w:t xml:space="preserve">, </w:t>
      </w:r>
      <w:proofErr w:type="spellStart"/>
      <w:r w:rsidRPr="00AB5A4B">
        <w:t>Salmonella</w:t>
      </w:r>
      <w:proofErr w:type="spellEnd"/>
      <w:r w:rsidRPr="00AB5A4B">
        <w:t xml:space="preserve">, </w:t>
      </w:r>
      <w:proofErr w:type="spellStart"/>
      <w:r w:rsidRPr="00AB5A4B">
        <w:t>Providencia</w:t>
      </w:r>
      <w:proofErr w:type="spellEnd"/>
      <w:r w:rsidRPr="00AB5A4B">
        <w:t xml:space="preserve">, </w:t>
      </w:r>
      <w:proofErr w:type="spellStart"/>
      <w:r w:rsidRPr="00AB5A4B">
        <w:t>Mima-Herelea</w:t>
      </w:r>
      <w:proofErr w:type="spellEnd"/>
      <w:r w:rsidRPr="00AB5A4B">
        <w:t xml:space="preserve">, </w:t>
      </w:r>
      <w:proofErr w:type="spellStart"/>
      <w:r w:rsidRPr="00AB5A4B">
        <w:t>Citrobacter</w:t>
      </w:r>
      <w:proofErr w:type="spellEnd"/>
      <w:r w:rsidRPr="00AB5A4B">
        <w:t xml:space="preserve"> </w:t>
      </w:r>
      <w:proofErr w:type="spellStart"/>
      <w:r w:rsidRPr="00AB5A4B">
        <w:t>freundii</w:t>
      </w:r>
      <w:proofErr w:type="spellEnd"/>
      <w:r w:rsidRPr="00AB5A4B">
        <w:t xml:space="preserve"> (в том числе, штаммов, резистентных к </w:t>
      </w:r>
      <w:proofErr w:type="spellStart"/>
      <w:r w:rsidRPr="00AB5A4B">
        <w:t>канамицину</w:t>
      </w:r>
      <w:proofErr w:type="spellEnd"/>
      <w:r w:rsidRPr="00AB5A4B">
        <w:t xml:space="preserve">, </w:t>
      </w:r>
      <w:proofErr w:type="spellStart"/>
      <w:r w:rsidRPr="00AB5A4B">
        <w:t>гентамицину</w:t>
      </w:r>
      <w:proofErr w:type="spellEnd"/>
      <w:r w:rsidRPr="00AB5A4B">
        <w:t xml:space="preserve">, </w:t>
      </w:r>
      <w:proofErr w:type="spellStart"/>
      <w:r w:rsidRPr="00AB5A4B">
        <w:t>тобрамицину</w:t>
      </w:r>
      <w:proofErr w:type="spellEnd"/>
      <w:r w:rsidRPr="00AB5A4B">
        <w:t xml:space="preserve">), а также некоторых грамположительных микроорганизмов: </w:t>
      </w:r>
      <w:proofErr w:type="spellStart"/>
      <w:r w:rsidRPr="00AB5A4B">
        <w:t>Staphylococcus</w:t>
      </w:r>
      <w:proofErr w:type="spellEnd"/>
      <w:r w:rsidRPr="00AB5A4B">
        <w:t xml:space="preserve"> (в том числе, штаммов, устойчивых к пенициллину, </w:t>
      </w:r>
      <w:proofErr w:type="spellStart"/>
      <w:r w:rsidRPr="00AB5A4B">
        <w:t>метициллину</w:t>
      </w:r>
      <w:proofErr w:type="spellEnd"/>
      <w:r w:rsidRPr="00AB5A4B">
        <w:t xml:space="preserve">, некоторым </w:t>
      </w:r>
      <w:proofErr w:type="spellStart"/>
      <w:r w:rsidRPr="00AB5A4B">
        <w:t>цефалоспоринам</w:t>
      </w:r>
      <w:proofErr w:type="spellEnd"/>
      <w:r w:rsidRPr="00AB5A4B">
        <w:t xml:space="preserve">), некоторых штаммов </w:t>
      </w:r>
      <w:proofErr w:type="spellStart"/>
      <w:r w:rsidRPr="00AB5A4B">
        <w:t>Streptococcus</w:t>
      </w:r>
      <w:proofErr w:type="spellEnd"/>
      <w:r w:rsidRPr="00AB5A4B">
        <w:t xml:space="preserve">. </w:t>
      </w:r>
      <w:r w:rsidR="00F22686" w:rsidRPr="00F22686">
        <w:rPr>
          <w:b/>
        </w:rPr>
        <w:t xml:space="preserve"> </w:t>
      </w:r>
      <w:r w:rsidRPr="00AB5A4B">
        <w:t xml:space="preserve">При одновременном назначении с </w:t>
      </w:r>
      <w:proofErr w:type="spellStart"/>
      <w:r w:rsidRPr="00AB5A4B">
        <w:t>бензилпенициллином</w:t>
      </w:r>
      <w:proofErr w:type="spellEnd"/>
      <w:r w:rsidRPr="00AB5A4B">
        <w:t xml:space="preserve"> проявляет синергизм в отношении штаммов </w:t>
      </w:r>
      <w:proofErr w:type="spellStart"/>
      <w:r w:rsidRPr="00AB5A4B">
        <w:t>Enterococcus</w:t>
      </w:r>
      <w:proofErr w:type="spellEnd"/>
      <w:r w:rsidRPr="00AB5A4B">
        <w:t xml:space="preserve"> </w:t>
      </w:r>
      <w:proofErr w:type="spellStart"/>
      <w:r w:rsidRPr="00AB5A4B">
        <w:t>faecalis</w:t>
      </w:r>
      <w:proofErr w:type="spellEnd"/>
      <w:r w:rsidRPr="00AB5A4B">
        <w:t xml:space="preserve">. </w:t>
      </w:r>
      <w:r>
        <w:t xml:space="preserve"> </w:t>
      </w:r>
      <w:proofErr w:type="spellStart"/>
      <w:r w:rsidRPr="00AB5A4B">
        <w:t>Амикацин</w:t>
      </w:r>
      <w:proofErr w:type="spellEnd"/>
      <w:r w:rsidRPr="00AB5A4B">
        <w:t xml:space="preserve"> не теряет активности под действием ферментов, инактивирующих другие </w:t>
      </w:r>
      <w:proofErr w:type="spellStart"/>
      <w:r w:rsidRPr="00AB5A4B">
        <w:t>аминогликозиды</w:t>
      </w:r>
      <w:proofErr w:type="spellEnd"/>
      <w:r w:rsidRPr="00AB5A4B">
        <w:t xml:space="preserve">, и может оставаться активным в отношении штаммов </w:t>
      </w:r>
      <w:proofErr w:type="spellStart"/>
      <w:r w:rsidRPr="00AB5A4B">
        <w:t>Pseudomonas</w:t>
      </w:r>
      <w:proofErr w:type="spellEnd"/>
      <w:r w:rsidRPr="00AB5A4B">
        <w:t xml:space="preserve"> </w:t>
      </w:r>
      <w:proofErr w:type="spellStart"/>
      <w:r w:rsidRPr="00AB5A4B">
        <w:t>aeruginosa</w:t>
      </w:r>
      <w:proofErr w:type="spellEnd"/>
      <w:r w:rsidRPr="00AB5A4B">
        <w:t xml:space="preserve">, устойчивых к </w:t>
      </w:r>
      <w:proofErr w:type="spellStart"/>
      <w:r w:rsidRPr="00AB5A4B">
        <w:t>тобрамицину</w:t>
      </w:r>
      <w:proofErr w:type="spellEnd"/>
      <w:r w:rsidRPr="00AB5A4B">
        <w:t xml:space="preserve">, </w:t>
      </w:r>
      <w:proofErr w:type="spellStart"/>
      <w:r w:rsidRPr="00AB5A4B">
        <w:t>гентамицину</w:t>
      </w:r>
      <w:proofErr w:type="spellEnd"/>
      <w:r w:rsidRPr="00AB5A4B">
        <w:t xml:space="preserve"> и </w:t>
      </w:r>
      <w:proofErr w:type="spellStart"/>
      <w:r w:rsidRPr="00AB5A4B">
        <w:t>нетилмицину</w:t>
      </w:r>
      <w:proofErr w:type="spellEnd"/>
      <w:r w:rsidRPr="00AB5A4B">
        <w:t>.</w:t>
      </w:r>
      <w:r>
        <w:t xml:space="preserve"> </w:t>
      </w:r>
      <w:proofErr w:type="spellStart"/>
      <w:r w:rsidRPr="00AB5A4B">
        <w:t>Амикацин</w:t>
      </w:r>
      <w:proofErr w:type="spellEnd"/>
      <w:r w:rsidRPr="00AB5A4B">
        <w:t xml:space="preserve"> не </w:t>
      </w:r>
      <w:proofErr w:type="gramStart"/>
      <w:r w:rsidRPr="00AB5A4B">
        <w:t>активен</w:t>
      </w:r>
      <w:proofErr w:type="gramEnd"/>
      <w:r w:rsidRPr="00AB5A4B">
        <w:t xml:space="preserve"> в отношении анаэробных микроорганизмов.</w:t>
      </w:r>
      <w:r w:rsidRPr="00AB5A4B">
        <w:br/>
      </w:r>
      <w:r w:rsidRPr="00AB5A4B">
        <w:rPr>
          <w:b/>
        </w:rPr>
        <w:t xml:space="preserve">Показания к применению: </w:t>
      </w:r>
      <w:r w:rsidRPr="00AB5A4B">
        <w:t xml:space="preserve">Лечение инфекционно-воспалительных заболеваний тяжелого течения, вызванных микроорганизмами чувствительными к препарату </w:t>
      </w:r>
      <w:proofErr w:type="spellStart"/>
      <w:r w:rsidRPr="00AB5A4B">
        <w:t>амикацин</w:t>
      </w:r>
      <w:proofErr w:type="spellEnd"/>
      <w:r w:rsidRPr="00AB5A4B">
        <w:t xml:space="preserve">, а так же микроорганизмами резистентными к другим </w:t>
      </w:r>
      <w:proofErr w:type="spellStart"/>
      <w:r w:rsidRPr="00AB5A4B">
        <w:t>аминогликозидам</w:t>
      </w:r>
      <w:proofErr w:type="spellEnd"/>
      <w:r w:rsidRPr="00AB5A4B">
        <w:t xml:space="preserve">: </w:t>
      </w:r>
    </w:p>
    <w:p w:rsidR="00AB5A4B" w:rsidRPr="00AB5A4B" w:rsidRDefault="00AB5A4B" w:rsidP="00AB5A4B">
      <w:r w:rsidRPr="00AB5A4B">
        <w:t xml:space="preserve">- инфекции брюшной полости (в т.ч. перитонит); </w:t>
      </w:r>
    </w:p>
    <w:p w:rsidR="00AB5A4B" w:rsidRPr="00AB5A4B" w:rsidRDefault="00AB5A4B" w:rsidP="00AB5A4B">
      <w:r w:rsidRPr="00AB5A4B">
        <w:t xml:space="preserve">- септический эндокардит; </w:t>
      </w:r>
    </w:p>
    <w:p w:rsidR="00AB5A4B" w:rsidRPr="00AB5A4B" w:rsidRDefault="00AB5A4B" w:rsidP="00AB5A4B">
      <w:r w:rsidRPr="00AB5A4B">
        <w:t xml:space="preserve">- сепсис; </w:t>
      </w:r>
    </w:p>
    <w:p w:rsidR="00AB5A4B" w:rsidRPr="00AB5A4B" w:rsidRDefault="00AB5A4B" w:rsidP="00AB5A4B">
      <w:r w:rsidRPr="00AB5A4B">
        <w:t xml:space="preserve">- инфекции ЦНС (включая менингит); </w:t>
      </w:r>
    </w:p>
    <w:p w:rsidR="00AB5A4B" w:rsidRPr="00AB5A4B" w:rsidRDefault="00AB5A4B" w:rsidP="00AB5A4B">
      <w:r w:rsidRPr="00AB5A4B">
        <w:t xml:space="preserve">- инфекции верхних дыхательных путей (бронхит, пневмония, эмпиема плевры, абсцесс легких); </w:t>
      </w:r>
    </w:p>
    <w:p w:rsidR="00AB5A4B" w:rsidRPr="00AB5A4B" w:rsidRDefault="00AB5A4B" w:rsidP="00AB5A4B">
      <w:r w:rsidRPr="00AB5A4B">
        <w:t xml:space="preserve">- гнойные инфекции кожи и мягких тканей (в т.ч. инфицированные ожоги, инфицированные язвы и пролежни различного генеза); </w:t>
      </w:r>
    </w:p>
    <w:p w:rsidR="00AB5A4B" w:rsidRPr="00AB5A4B" w:rsidRDefault="00AB5A4B" w:rsidP="00AB5A4B">
      <w:r w:rsidRPr="00AB5A4B">
        <w:t>- часто рецидивирующие инфекции мочеполовых путей (</w:t>
      </w:r>
      <w:proofErr w:type="spellStart"/>
      <w:r w:rsidRPr="00AB5A4B">
        <w:t>пиелонефрит</w:t>
      </w:r>
      <w:proofErr w:type="spellEnd"/>
      <w:r w:rsidRPr="00AB5A4B">
        <w:t xml:space="preserve">, цистит, уретрит, простатит, гонорея); </w:t>
      </w:r>
    </w:p>
    <w:p w:rsidR="00AB5A4B" w:rsidRPr="00AB5A4B" w:rsidRDefault="00AB5A4B" w:rsidP="00AB5A4B">
      <w:r w:rsidRPr="00AB5A4B">
        <w:t xml:space="preserve">- инфекции желчевыводящих путей; </w:t>
      </w:r>
    </w:p>
    <w:p w:rsidR="00AB5A4B" w:rsidRPr="00AB5A4B" w:rsidRDefault="00AB5A4B" w:rsidP="00AB5A4B">
      <w:r w:rsidRPr="00AB5A4B">
        <w:t xml:space="preserve">- инфекции костей и суставов (в т.ч. остеомиелит); </w:t>
      </w:r>
    </w:p>
    <w:p w:rsidR="00AB5A4B" w:rsidRPr="00AB5A4B" w:rsidRDefault="00AB5A4B" w:rsidP="00AB5A4B">
      <w:r w:rsidRPr="00AB5A4B">
        <w:t xml:space="preserve">- раневая инфекция и послеоперационные инфекции. </w:t>
      </w:r>
    </w:p>
    <w:p w:rsidR="00AB5A4B" w:rsidRPr="00AB5A4B" w:rsidRDefault="00AB5A4B" w:rsidP="00AB5A4B">
      <w:pPr>
        <w:rPr>
          <w:b/>
        </w:rPr>
      </w:pPr>
      <w:r w:rsidRPr="00AB5A4B">
        <w:rPr>
          <w:b/>
        </w:rPr>
        <w:t xml:space="preserve">Противопоказания: </w:t>
      </w:r>
    </w:p>
    <w:p w:rsidR="00AB5A4B" w:rsidRPr="00AB5A4B" w:rsidRDefault="00AB5A4B" w:rsidP="00AB5A4B">
      <w:r w:rsidRPr="00AB5A4B">
        <w:t xml:space="preserve">- при повышенной чувствительности к компонентам препарата, а также к другим антибиотикам группы </w:t>
      </w:r>
      <w:proofErr w:type="spellStart"/>
      <w:r w:rsidRPr="00AB5A4B">
        <w:t>аминогликозидов</w:t>
      </w:r>
      <w:proofErr w:type="spellEnd"/>
      <w:r w:rsidRPr="00AB5A4B">
        <w:t xml:space="preserve">; </w:t>
      </w:r>
    </w:p>
    <w:p w:rsidR="00AB5A4B" w:rsidRPr="00AB5A4B" w:rsidRDefault="00AB5A4B" w:rsidP="00AB5A4B">
      <w:r w:rsidRPr="00AB5A4B">
        <w:t xml:space="preserve">- при тяжелых нарушениях функции почек; </w:t>
      </w:r>
    </w:p>
    <w:p w:rsidR="00AB5A4B" w:rsidRPr="00AB5A4B" w:rsidRDefault="00AB5A4B" w:rsidP="00AB5A4B">
      <w:r w:rsidRPr="00AB5A4B">
        <w:t xml:space="preserve">- при неврите слухового нерва; </w:t>
      </w:r>
    </w:p>
    <w:p w:rsidR="00AB5A4B" w:rsidRPr="00AB5A4B" w:rsidRDefault="00AB5A4B" w:rsidP="00AB5A4B">
      <w:r w:rsidRPr="00AB5A4B">
        <w:t>- при беременности  </w:t>
      </w:r>
    </w:p>
    <w:p w:rsidR="00AB5A4B" w:rsidRPr="00AB5A4B" w:rsidRDefault="00AB5A4B" w:rsidP="00AB5A4B">
      <w:pPr>
        <w:rPr>
          <w:b/>
        </w:rPr>
      </w:pPr>
      <w:r w:rsidRPr="00AB5A4B">
        <w:rPr>
          <w:b/>
        </w:rPr>
        <w:t>Побочное действие</w:t>
      </w:r>
      <w:r>
        <w:rPr>
          <w:b/>
        </w:rPr>
        <w:t xml:space="preserve">: </w:t>
      </w:r>
      <w:proofErr w:type="gramStart"/>
      <w:r w:rsidRPr="00AB5A4B">
        <w:t>Головная боль, сонливость, нарушение нервно-</w:t>
      </w:r>
      <w:r w:rsidRPr="00AB5A4B">
        <w:softHyphen/>
        <w:t xml:space="preserve">мышечной передачи (остановка дыхания), </w:t>
      </w:r>
      <w:proofErr w:type="spellStart"/>
      <w:r w:rsidRPr="00AB5A4B">
        <w:t>нейротоксичность</w:t>
      </w:r>
      <w:proofErr w:type="spellEnd"/>
      <w:r w:rsidRPr="00AB5A4B">
        <w:t xml:space="preserve"> (подергивание мышц, ощущение онемения, покалывания, эпилептические припадки); анемия, лейкопения, </w:t>
      </w:r>
      <w:proofErr w:type="spellStart"/>
      <w:r w:rsidRPr="00AB5A4B">
        <w:t>гранулоцитопения</w:t>
      </w:r>
      <w:proofErr w:type="spellEnd"/>
      <w:r w:rsidRPr="00AB5A4B">
        <w:t xml:space="preserve">, тромбоцитопения; тошнота, рвота, повышение активности печеночных </w:t>
      </w:r>
      <w:proofErr w:type="spellStart"/>
      <w:r w:rsidRPr="00AB5A4B">
        <w:t>трансаминаз</w:t>
      </w:r>
      <w:proofErr w:type="spellEnd"/>
      <w:r w:rsidRPr="00AB5A4B">
        <w:t xml:space="preserve">, </w:t>
      </w:r>
      <w:proofErr w:type="spellStart"/>
      <w:r w:rsidRPr="00AB5A4B">
        <w:t>гипербилирубинемия</w:t>
      </w:r>
      <w:proofErr w:type="spellEnd"/>
      <w:r w:rsidRPr="00AB5A4B">
        <w:t xml:space="preserve">; </w:t>
      </w:r>
      <w:proofErr w:type="spellStart"/>
      <w:r w:rsidRPr="00AB5A4B">
        <w:t>олигурия</w:t>
      </w:r>
      <w:proofErr w:type="spellEnd"/>
      <w:r w:rsidRPr="00AB5A4B">
        <w:t xml:space="preserve">, протеинурия, </w:t>
      </w:r>
      <w:proofErr w:type="spellStart"/>
      <w:r w:rsidRPr="00AB5A4B">
        <w:t>микрогематурия</w:t>
      </w:r>
      <w:proofErr w:type="spellEnd"/>
      <w:r w:rsidRPr="00AB5A4B">
        <w:t xml:space="preserve">; редко почечная недостаточность; </w:t>
      </w:r>
      <w:proofErr w:type="spellStart"/>
      <w:r w:rsidRPr="00AB5A4B">
        <w:t>ототоксичность</w:t>
      </w:r>
      <w:proofErr w:type="spellEnd"/>
      <w:r w:rsidRPr="00AB5A4B">
        <w:t xml:space="preserve"> (снижение слуха, вестибулярные и лабиринтные нарушения, необратимая глухота).</w:t>
      </w:r>
      <w:proofErr w:type="gramEnd"/>
    </w:p>
    <w:p w:rsidR="00AB5A4B" w:rsidRPr="00AB5A4B" w:rsidRDefault="00AB5A4B" w:rsidP="00AB5A4B">
      <w:r w:rsidRPr="00AB5A4B">
        <w:t xml:space="preserve">Аллергические реакции: кожная сыпь, зуд, гиперемия кожи, лихорадка; редко - отек </w:t>
      </w:r>
      <w:proofErr w:type="spellStart"/>
      <w:r w:rsidRPr="00AB5A4B">
        <w:t>Квинке</w:t>
      </w:r>
      <w:proofErr w:type="spellEnd"/>
      <w:r w:rsidRPr="00AB5A4B">
        <w:t xml:space="preserve">  </w:t>
      </w:r>
    </w:p>
    <w:p w:rsidR="00AB5A4B" w:rsidRPr="00AB5A4B" w:rsidRDefault="00AB5A4B" w:rsidP="00AB5A4B">
      <w:pPr>
        <w:rPr>
          <w:b/>
        </w:rPr>
      </w:pPr>
      <w:r w:rsidRPr="00AB5A4B">
        <w:rPr>
          <w:b/>
        </w:rPr>
        <w:t>Способ применения и дозы</w:t>
      </w:r>
      <w:r>
        <w:rPr>
          <w:b/>
        </w:rPr>
        <w:t xml:space="preserve">: </w:t>
      </w:r>
      <w:r w:rsidRPr="00AB5A4B">
        <w:t xml:space="preserve">Режим дозирования устанавливается индивидуально из расчета массы тела пациента, с учетом тяжести течения и локализации инфекции, а также чувствительности возбудителя </w:t>
      </w:r>
    </w:p>
    <w:p w:rsidR="00AB5A4B" w:rsidRPr="00AB5A4B" w:rsidRDefault="00AB5A4B" w:rsidP="00AB5A4B">
      <w:r w:rsidRPr="00AB5A4B">
        <w:t xml:space="preserve">Взрослым и подросткам назначают в/м, </w:t>
      </w:r>
      <w:proofErr w:type="gramStart"/>
      <w:r w:rsidRPr="00AB5A4B">
        <w:t>в</w:t>
      </w:r>
      <w:proofErr w:type="gramEnd"/>
      <w:r w:rsidRPr="00AB5A4B">
        <w:t>/в (</w:t>
      </w:r>
      <w:proofErr w:type="spellStart"/>
      <w:r w:rsidRPr="00AB5A4B">
        <w:t>струйно</w:t>
      </w:r>
      <w:proofErr w:type="spellEnd"/>
      <w:r w:rsidRPr="00AB5A4B">
        <w:t xml:space="preserve"> </w:t>
      </w:r>
      <w:proofErr w:type="gramStart"/>
      <w:r w:rsidRPr="00AB5A4B">
        <w:t>в</w:t>
      </w:r>
      <w:proofErr w:type="gramEnd"/>
      <w:r w:rsidRPr="00AB5A4B">
        <w:t xml:space="preserve"> течение 2 минут или </w:t>
      </w:r>
      <w:proofErr w:type="spellStart"/>
      <w:r w:rsidRPr="00AB5A4B">
        <w:t>капельно</w:t>
      </w:r>
      <w:proofErr w:type="spellEnd"/>
      <w:r w:rsidRPr="00AB5A4B">
        <w:t xml:space="preserve">) по 5 мг/кг каждые 8 часов или по 7,5 мг/кг каждые 12 часов в течение 7-10 дней. </w:t>
      </w:r>
      <w:r>
        <w:t xml:space="preserve"> </w:t>
      </w:r>
      <w:r w:rsidRPr="00AB5A4B">
        <w:t xml:space="preserve">Для взрослых максимальные </w:t>
      </w:r>
      <w:r w:rsidRPr="00AB5A4B">
        <w:lastRenderedPageBreak/>
        <w:t xml:space="preserve">дозы - до 15 мг/кг в сутки, но не более </w:t>
      </w:r>
      <w:smartTag w:uri="urn:schemas-microsoft-com:office:smarttags" w:element="metricconverter">
        <w:smartTagPr>
          <w:attr w:name="ProductID" w:val="1,5 г"/>
        </w:smartTagPr>
        <w:r w:rsidRPr="00AB5A4B">
          <w:t>1,5 г</w:t>
        </w:r>
      </w:smartTag>
      <w:r w:rsidRPr="00AB5A4B">
        <w:t xml:space="preserve"> в сутки. Новорожденным детям начальная доза - 10 мг/кг, затем по 7,5 мг/кг каждые 12 часов в течение 7-10 дней.</w:t>
      </w:r>
      <w:r>
        <w:t xml:space="preserve"> </w:t>
      </w:r>
      <w:proofErr w:type="gramStart"/>
      <w:r w:rsidRPr="00AB5A4B">
        <w:t xml:space="preserve">При инфекциях дыхательных путей, бактериемии, септицемии, осложненных инфекционных заболеваниях мочеполовых путей, </w:t>
      </w:r>
      <w:proofErr w:type="spellStart"/>
      <w:r w:rsidRPr="00AB5A4B">
        <w:t>интра-абдоминальных</w:t>
      </w:r>
      <w:proofErr w:type="spellEnd"/>
      <w:r w:rsidRPr="00AB5A4B">
        <w:t xml:space="preserve"> инфекциях и </w:t>
      </w:r>
      <w:proofErr w:type="spellStart"/>
      <w:r w:rsidRPr="00AB5A4B">
        <w:t>фебрильной</w:t>
      </w:r>
      <w:proofErr w:type="spellEnd"/>
      <w:r w:rsidRPr="00AB5A4B">
        <w:t xml:space="preserve"> </w:t>
      </w:r>
      <w:proofErr w:type="spellStart"/>
      <w:r w:rsidRPr="00AB5A4B">
        <w:t>нейтропении</w:t>
      </w:r>
      <w:proofErr w:type="spellEnd"/>
      <w:r w:rsidRPr="00AB5A4B">
        <w:t xml:space="preserve"> доза взрослым составляет 15 мг/кг 1 раз в день в/в, детям в возрасте от 4 недель 20 мг/кг.</w:t>
      </w:r>
      <w:proofErr w:type="gramEnd"/>
      <w:r w:rsidRPr="00AB5A4B">
        <w:t xml:space="preserve"> </w:t>
      </w:r>
      <w:r>
        <w:t xml:space="preserve"> </w:t>
      </w:r>
      <w:r w:rsidRPr="00AB5A4B">
        <w:t>При бактериальных инфекциях мочевых путей (</w:t>
      </w:r>
      <w:proofErr w:type="spellStart"/>
      <w:r w:rsidRPr="00AB5A4B">
        <w:t>неосложненные</w:t>
      </w:r>
      <w:proofErr w:type="spellEnd"/>
      <w:r w:rsidRPr="00AB5A4B">
        <w:t xml:space="preserve">) </w:t>
      </w:r>
      <w:r>
        <w:t>–</w:t>
      </w:r>
      <w:r w:rsidRPr="00AB5A4B">
        <w:t xml:space="preserve"> 250 мг каждые 12 часов; после сеанса гемодиализа может быть назначена дополнительная доза </w:t>
      </w:r>
      <w:r>
        <w:t>–</w:t>
      </w:r>
      <w:r w:rsidRPr="00AB5A4B">
        <w:t xml:space="preserve"> 3-5 мг/кг. </w:t>
      </w:r>
    </w:p>
    <w:p w:rsidR="00AB5A4B" w:rsidRPr="00AB5A4B" w:rsidRDefault="00AB5A4B" w:rsidP="00AB5A4B">
      <w:r w:rsidRPr="00AB5A4B">
        <w:t xml:space="preserve">Внутривенное введение препарата может быть струйное в течение 2 минут или капельное в течение 30-60 минут (новорожденным 1-2 часа). Необходимую дозу препарата разводят в 100-200 мл стерильного растворителя. Концентрация </w:t>
      </w:r>
      <w:proofErr w:type="spellStart"/>
      <w:r w:rsidRPr="00AB5A4B">
        <w:t>амикацина</w:t>
      </w:r>
      <w:proofErr w:type="spellEnd"/>
      <w:r w:rsidRPr="00AB5A4B">
        <w:t xml:space="preserve"> в растворе для внутривенного введения не должна превышать 5 мг/мл. </w:t>
      </w:r>
      <w:r>
        <w:t xml:space="preserve"> </w:t>
      </w:r>
      <w:r w:rsidRPr="00AB5A4B">
        <w:t xml:space="preserve">Как и все </w:t>
      </w:r>
      <w:proofErr w:type="spellStart"/>
      <w:r w:rsidRPr="00AB5A4B">
        <w:t>аминогликозиды</w:t>
      </w:r>
      <w:proofErr w:type="spellEnd"/>
      <w:r w:rsidRPr="00AB5A4B">
        <w:t xml:space="preserve">, </w:t>
      </w:r>
      <w:proofErr w:type="spellStart"/>
      <w:r w:rsidRPr="00AB5A4B">
        <w:t>Агвицин</w:t>
      </w:r>
      <w:proofErr w:type="spellEnd"/>
      <w:r w:rsidRPr="00AB5A4B">
        <w:t xml:space="preserve"> не следует вводить одновременно с другими лекарственными препаратами. </w:t>
      </w:r>
    </w:p>
    <w:p w:rsidR="00AB5A4B" w:rsidRPr="00AB5A4B" w:rsidRDefault="00AB5A4B" w:rsidP="00AB5A4B">
      <w:pPr>
        <w:rPr>
          <w:b/>
          <w:i/>
        </w:rPr>
      </w:pPr>
      <w:proofErr w:type="spellStart"/>
      <w:r w:rsidRPr="00AB5A4B">
        <w:rPr>
          <w:b/>
          <w:i/>
        </w:rPr>
        <w:t>Агвицин</w:t>
      </w:r>
      <w:proofErr w:type="spellEnd"/>
      <w:r w:rsidRPr="00AB5A4B">
        <w:rPr>
          <w:b/>
          <w:i/>
        </w:rPr>
        <w:t>, как и все лекарственные препараты для парентерального введения, перед применением следует осматривать на наличие посторонних частиц или окрашивание!  </w:t>
      </w:r>
    </w:p>
    <w:p w:rsidR="00AB5A4B" w:rsidRPr="00AB5A4B" w:rsidRDefault="00AB5A4B" w:rsidP="00AB5A4B">
      <w:r w:rsidRPr="00AB5A4B">
        <w:t xml:space="preserve">Продолжительность лечения  при внутривенном введении </w:t>
      </w:r>
      <w:r>
        <w:t>–</w:t>
      </w:r>
      <w:r w:rsidRPr="00AB5A4B">
        <w:t xml:space="preserve"> 3-7 дней, </w:t>
      </w:r>
    </w:p>
    <w:p w:rsidR="00AB5A4B" w:rsidRPr="00AB5A4B" w:rsidRDefault="00AB5A4B" w:rsidP="00AB5A4B">
      <w:r w:rsidRPr="00AB5A4B">
        <w:t xml:space="preserve">при внутримышечном введении </w:t>
      </w:r>
      <w:r>
        <w:t>–</w:t>
      </w:r>
      <w:r w:rsidRPr="00AB5A4B">
        <w:t xml:space="preserve"> 7-10 дней. </w:t>
      </w:r>
      <w:r w:rsidR="00B82E63" w:rsidRPr="00B82E63">
        <w:t xml:space="preserve"> </w:t>
      </w:r>
      <w:r w:rsidRPr="00AB5A4B">
        <w:t xml:space="preserve">В случае отсутствия лечебного эффекта через 3-5 дней от начала введения препарата, прием его следует прекратить и еще раз проверить чувствительность возбудителя к </w:t>
      </w:r>
      <w:proofErr w:type="spellStart"/>
      <w:r w:rsidRPr="00AB5A4B">
        <w:t>амикацину</w:t>
      </w:r>
      <w:proofErr w:type="spellEnd"/>
      <w:r w:rsidRPr="00AB5A4B">
        <w:t xml:space="preserve">. </w:t>
      </w:r>
    </w:p>
    <w:p w:rsidR="00AB5A4B" w:rsidRPr="00AB5A4B" w:rsidRDefault="00AB5A4B" w:rsidP="00AB5A4B">
      <w:r w:rsidRPr="00AB5A4B">
        <w:t xml:space="preserve">Пациентам с нарушенной функцией почек (клиренс </w:t>
      </w:r>
      <w:proofErr w:type="spellStart"/>
      <w:r w:rsidRPr="00AB5A4B">
        <w:t>креатинина</w:t>
      </w:r>
      <w:proofErr w:type="spellEnd"/>
      <w:r w:rsidRPr="00AB5A4B">
        <w:t xml:space="preserve"> &lt; 50 мл/мин) применять препарат один раз в сутки не рекомендуется, в данном случае требуется коррекция режима дозирования. Обычно препарат назначают 2 раза в день, определяя концентрацию </w:t>
      </w:r>
      <w:proofErr w:type="spellStart"/>
      <w:r w:rsidRPr="00AB5A4B">
        <w:t>амикацина</w:t>
      </w:r>
      <w:proofErr w:type="spellEnd"/>
      <w:r w:rsidRPr="00AB5A4B">
        <w:t xml:space="preserve"> в сыворотке крови. Общую дозу препарата по сравнению с обычной снижают путем увеличения интервалов между введениями или уменьшением дозы препарата. </w:t>
      </w:r>
      <w:r w:rsidR="00B82E63" w:rsidRPr="00B82E63">
        <w:t xml:space="preserve"> </w:t>
      </w:r>
      <w:r w:rsidRPr="00AB5A4B">
        <w:t>Пациентам с ожогами может потребоваться доза 5-7,5 мг/кг каждые 4-6 ч в связи с более коротким Т</w:t>
      </w:r>
      <w:proofErr w:type="gramStart"/>
      <w:r w:rsidRPr="00AB5A4B">
        <w:t>1</w:t>
      </w:r>
      <w:proofErr w:type="gramEnd"/>
      <w:r w:rsidRPr="00AB5A4B">
        <w:t>/2 (1-1,5 ч) у этих больных.  </w:t>
      </w:r>
    </w:p>
    <w:p w:rsidR="00AB5A4B" w:rsidRPr="00B82E63" w:rsidRDefault="00AB5A4B" w:rsidP="00AB5A4B">
      <w:pPr>
        <w:rPr>
          <w:b/>
        </w:rPr>
      </w:pPr>
      <w:r w:rsidRPr="00AB5A4B">
        <w:rPr>
          <w:b/>
        </w:rPr>
        <w:t>Взаимодействие с другими лекарственными средствами</w:t>
      </w:r>
      <w:r>
        <w:rPr>
          <w:b/>
        </w:rPr>
        <w:t xml:space="preserve">: </w:t>
      </w:r>
      <w:proofErr w:type="spellStart"/>
      <w:r w:rsidRPr="00AB5A4B">
        <w:t>Амикацин</w:t>
      </w:r>
      <w:proofErr w:type="spellEnd"/>
      <w:r w:rsidRPr="00AB5A4B">
        <w:t xml:space="preserve"> проявляет синергизм при взаимодействии с </w:t>
      </w:r>
      <w:proofErr w:type="spellStart"/>
      <w:r w:rsidRPr="00AB5A4B">
        <w:t>карбенициллином</w:t>
      </w:r>
      <w:proofErr w:type="spellEnd"/>
      <w:r w:rsidRPr="00AB5A4B">
        <w:t xml:space="preserve">, </w:t>
      </w:r>
      <w:proofErr w:type="spellStart"/>
      <w:r w:rsidRPr="00AB5A4B">
        <w:t>бензилпенициллином</w:t>
      </w:r>
      <w:proofErr w:type="spellEnd"/>
      <w:r w:rsidRPr="00AB5A4B">
        <w:t xml:space="preserve">, </w:t>
      </w:r>
      <w:proofErr w:type="spellStart"/>
      <w:r w:rsidRPr="00AB5A4B">
        <w:t>цефалоспоринами</w:t>
      </w:r>
      <w:proofErr w:type="spellEnd"/>
      <w:r w:rsidRPr="00AB5A4B">
        <w:t xml:space="preserve"> (у больных с тяжелой хронической почечной недостаточностью при совместном применении с </w:t>
      </w:r>
      <w:proofErr w:type="spellStart"/>
      <w:r w:rsidRPr="00AB5A4B">
        <w:t>бета-лактамными</w:t>
      </w:r>
      <w:proofErr w:type="spellEnd"/>
      <w:r w:rsidRPr="00AB5A4B">
        <w:t xml:space="preserve"> антибиотиками возможно снижение эффективности </w:t>
      </w:r>
      <w:proofErr w:type="spellStart"/>
      <w:r w:rsidRPr="00AB5A4B">
        <w:t>аминогликозидов</w:t>
      </w:r>
      <w:proofErr w:type="spellEnd"/>
      <w:r w:rsidRPr="00AB5A4B">
        <w:t xml:space="preserve">). </w:t>
      </w:r>
      <w:r w:rsidR="00B82E63" w:rsidRPr="00B82E63">
        <w:rPr>
          <w:b/>
        </w:rPr>
        <w:t xml:space="preserve"> </w:t>
      </w:r>
      <w:r w:rsidRPr="00AB5A4B">
        <w:t xml:space="preserve">Развитие нефротоксического действия может происходить при одновременном применении </w:t>
      </w:r>
      <w:proofErr w:type="spellStart"/>
      <w:r w:rsidRPr="00AB5A4B">
        <w:t>амикацина</w:t>
      </w:r>
      <w:proofErr w:type="spellEnd"/>
      <w:r w:rsidRPr="00AB5A4B">
        <w:t xml:space="preserve"> с </w:t>
      </w:r>
      <w:proofErr w:type="spellStart"/>
      <w:r w:rsidRPr="00AB5A4B">
        <w:t>амфотерицином</w:t>
      </w:r>
      <w:proofErr w:type="spellEnd"/>
      <w:r w:rsidRPr="00AB5A4B">
        <w:t xml:space="preserve"> B, </w:t>
      </w:r>
      <w:proofErr w:type="spellStart"/>
      <w:r w:rsidRPr="00AB5A4B">
        <w:t>ванкомицином</w:t>
      </w:r>
      <w:proofErr w:type="spellEnd"/>
      <w:r w:rsidRPr="00AB5A4B">
        <w:t xml:space="preserve">, </w:t>
      </w:r>
      <w:proofErr w:type="spellStart"/>
      <w:r w:rsidRPr="00AB5A4B">
        <w:t>метоксифлураном</w:t>
      </w:r>
      <w:proofErr w:type="spellEnd"/>
      <w:r w:rsidRPr="00AB5A4B">
        <w:t xml:space="preserve">, </w:t>
      </w:r>
      <w:proofErr w:type="spellStart"/>
      <w:r w:rsidRPr="00AB5A4B">
        <w:t>энфлураном</w:t>
      </w:r>
      <w:proofErr w:type="spellEnd"/>
      <w:r w:rsidRPr="00AB5A4B">
        <w:t xml:space="preserve">, НПВС, </w:t>
      </w:r>
      <w:proofErr w:type="spellStart"/>
      <w:r w:rsidRPr="00AB5A4B">
        <w:t>рентгеноконтрастными</w:t>
      </w:r>
      <w:proofErr w:type="spellEnd"/>
      <w:r w:rsidRPr="00AB5A4B">
        <w:t xml:space="preserve"> средствами, </w:t>
      </w:r>
      <w:proofErr w:type="spellStart"/>
      <w:r w:rsidRPr="00AB5A4B">
        <w:t>цефалотином</w:t>
      </w:r>
      <w:proofErr w:type="spellEnd"/>
      <w:r w:rsidRPr="00AB5A4B">
        <w:t xml:space="preserve">, </w:t>
      </w:r>
      <w:proofErr w:type="spellStart"/>
      <w:r w:rsidRPr="00AB5A4B">
        <w:t>циклоспорином</w:t>
      </w:r>
      <w:proofErr w:type="spellEnd"/>
      <w:r w:rsidRPr="00AB5A4B">
        <w:t xml:space="preserve">, </w:t>
      </w:r>
      <w:proofErr w:type="spellStart"/>
      <w:r w:rsidRPr="00AB5A4B">
        <w:t>цисплатином</w:t>
      </w:r>
      <w:proofErr w:type="spellEnd"/>
      <w:r w:rsidRPr="00AB5A4B">
        <w:t xml:space="preserve">, </w:t>
      </w:r>
      <w:proofErr w:type="spellStart"/>
      <w:r w:rsidRPr="00AB5A4B">
        <w:t>полимиксинами</w:t>
      </w:r>
      <w:proofErr w:type="spellEnd"/>
      <w:r w:rsidRPr="00AB5A4B">
        <w:t xml:space="preserve">, </w:t>
      </w:r>
      <w:proofErr w:type="spellStart"/>
      <w:r w:rsidRPr="00AB5A4B">
        <w:t>налидиксовой</w:t>
      </w:r>
      <w:proofErr w:type="spellEnd"/>
      <w:r w:rsidRPr="00AB5A4B">
        <w:t xml:space="preserve"> кислотой. Усиливает </w:t>
      </w:r>
      <w:proofErr w:type="spellStart"/>
      <w:r w:rsidRPr="00AB5A4B">
        <w:t>миорелаксирующее</w:t>
      </w:r>
      <w:proofErr w:type="spellEnd"/>
      <w:r w:rsidRPr="00AB5A4B">
        <w:t xml:space="preserve"> действие курареподобных препаратов. </w:t>
      </w:r>
    </w:p>
    <w:p w:rsidR="00AB5A4B" w:rsidRPr="00AB5A4B" w:rsidRDefault="00AB5A4B" w:rsidP="00AB5A4B">
      <w:pPr>
        <w:rPr>
          <w:b/>
        </w:rPr>
      </w:pPr>
      <w:r w:rsidRPr="00AB5A4B">
        <w:rPr>
          <w:b/>
        </w:rPr>
        <w:t>Особые указания</w:t>
      </w:r>
      <w:r>
        <w:rPr>
          <w:b/>
        </w:rPr>
        <w:t xml:space="preserve">: </w:t>
      </w:r>
      <w:r w:rsidRPr="00AB5A4B">
        <w:t xml:space="preserve">Не рекомендуется прием препарата свыше 14 дней, так как безопасность его применения свыше этого срока не установлена. При появлении признаков </w:t>
      </w:r>
      <w:proofErr w:type="spellStart"/>
      <w:r w:rsidRPr="00AB5A4B">
        <w:t>ототоксичности</w:t>
      </w:r>
      <w:proofErr w:type="spellEnd"/>
      <w:r w:rsidRPr="00AB5A4B">
        <w:t xml:space="preserve"> (шум в ушах, головокружение, снижение слуха) или </w:t>
      </w:r>
      <w:proofErr w:type="spellStart"/>
      <w:r w:rsidRPr="00AB5A4B">
        <w:t>нефротоксичности</w:t>
      </w:r>
      <w:proofErr w:type="spellEnd"/>
      <w:r w:rsidRPr="00AB5A4B">
        <w:t xml:space="preserve"> следует прекратить прием препарата или произвести коррекцию его дозы. Риск </w:t>
      </w:r>
      <w:proofErr w:type="spellStart"/>
      <w:r w:rsidRPr="00AB5A4B">
        <w:t>ототоксичности</w:t>
      </w:r>
      <w:proofErr w:type="spellEnd"/>
      <w:r w:rsidRPr="00AB5A4B">
        <w:t xml:space="preserve"> и </w:t>
      </w:r>
      <w:proofErr w:type="spellStart"/>
      <w:r w:rsidRPr="00AB5A4B">
        <w:t>нефротоксичности</w:t>
      </w:r>
      <w:proofErr w:type="spellEnd"/>
      <w:r w:rsidRPr="00AB5A4B">
        <w:t xml:space="preserve"> повышен у больных с нарушением функции почек, при применении высоких доз препарата, а также при длительном лечении </w:t>
      </w:r>
      <w:r>
        <w:t>–</w:t>
      </w:r>
      <w:r w:rsidRPr="00AB5A4B">
        <w:t xml:space="preserve"> в данных случаях рекомендуется проводить ежедневный контроль функции почек (значения концентрации </w:t>
      </w:r>
      <w:proofErr w:type="spellStart"/>
      <w:r w:rsidRPr="00AB5A4B">
        <w:t>креатинина</w:t>
      </w:r>
      <w:proofErr w:type="spellEnd"/>
      <w:r w:rsidRPr="00AB5A4B">
        <w:t xml:space="preserve"> в сыворотке или клиренс </w:t>
      </w:r>
      <w:proofErr w:type="spellStart"/>
      <w:r w:rsidRPr="00AB5A4B">
        <w:t>креатинина</w:t>
      </w:r>
      <w:proofErr w:type="spellEnd"/>
      <w:r w:rsidRPr="00AB5A4B">
        <w:t>). </w:t>
      </w:r>
    </w:p>
    <w:p w:rsidR="00AB5A4B" w:rsidRPr="00AB5A4B" w:rsidRDefault="00AB5A4B" w:rsidP="00AB5A4B">
      <w:pPr>
        <w:rPr>
          <w:b/>
        </w:rPr>
      </w:pPr>
      <w:r w:rsidRPr="00AB5A4B">
        <w:rPr>
          <w:b/>
        </w:rPr>
        <w:t>Применение при беременности и кормлении грудью</w:t>
      </w:r>
      <w:r>
        <w:rPr>
          <w:b/>
        </w:rPr>
        <w:t xml:space="preserve">: </w:t>
      </w:r>
      <w:r w:rsidRPr="00AB5A4B">
        <w:t xml:space="preserve">Применение </w:t>
      </w:r>
      <w:proofErr w:type="spellStart"/>
      <w:r w:rsidRPr="00AB5A4B">
        <w:t>амикацина</w:t>
      </w:r>
      <w:proofErr w:type="spellEnd"/>
      <w:r w:rsidRPr="00AB5A4B">
        <w:t xml:space="preserve"> при беременности и в период лактации возможно только при наличии жизненных показаний. </w:t>
      </w:r>
      <w:proofErr w:type="spellStart"/>
      <w:r w:rsidRPr="00AB5A4B">
        <w:t>Амикацин</w:t>
      </w:r>
      <w:proofErr w:type="spellEnd"/>
      <w:r w:rsidRPr="00AB5A4B">
        <w:t xml:space="preserve"> проникает через плаценту и может оказывать действие на плод, в связи с этим пациентку следует проинформировать в отношении потенциального риска для плода. При необходимости применения препарата </w:t>
      </w:r>
      <w:proofErr w:type="spellStart"/>
      <w:r w:rsidRPr="00AB5A4B">
        <w:t>амикацин</w:t>
      </w:r>
      <w:proofErr w:type="spellEnd"/>
      <w:r w:rsidRPr="00AB5A4B">
        <w:t xml:space="preserve"> в период лактации грудное вскармливание следует прекратить.  </w:t>
      </w:r>
    </w:p>
    <w:p w:rsidR="00AB5A4B" w:rsidRPr="00AB5A4B" w:rsidRDefault="00AB5A4B" w:rsidP="00AB5A4B">
      <w:pPr>
        <w:rPr>
          <w:b/>
        </w:rPr>
      </w:pPr>
      <w:r w:rsidRPr="00AB5A4B">
        <w:rPr>
          <w:b/>
        </w:rPr>
        <w:t>Применение в педиатрии</w:t>
      </w:r>
      <w:r>
        <w:rPr>
          <w:b/>
        </w:rPr>
        <w:t xml:space="preserve">: </w:t>
      </w:r>
      <w:proofErr w:type="spellStart"/>
      <w:r w:rsidRPr="00AB5A4B">
        <w:t>Агвицин</w:t>
      </w:r>
      <w:proofErr w:type="spellEnd"/>
      <w:r w:rsidRPr="00AB5A4B">
        <w:t xml:space="preserve">, как и все </w:t>
      </w:r>
      <w:proofErr w:type="spellStart"/>
      <w:r w:rsidRPr="00AB5A4B">
        <w:t>аминогликозиды</w:t>
      </w:r>
      <w:proofErr w:type="spellEnd"/>
      <w:r w:rsidRPr="00AB5A4B">
        <w:t>, необходимо применять с осторожностью у новорожденных и недоношенных детей из-за незрелости их мочевыделительной системы.  </w:t>
      </w:r>
    </w:p>
    <w:p w:rsidR="00AB5A4B" w:rsidRPr="00AB5A4B" w:rsidRDefault="00AB5A4B" w:rsidP="00AB5A4B">
      <w:r w:rsidRPr="00AB5A4B">
        <w:rPr>
          <w:b/>
        </w:rPr>
        <w:t>Форма выпуска</w:t>
      </w:r>
      <w:r>
        <w:t xml:space="preserve">: </w:t>
      </w:r>
      <w:r w:rsidRPr="00AB5A4B">
        <w:t xml:space="preserve">Раствор для инъекций во флаконе по  500 мг/2 мл. </w:t>
      </w:r>
    </w:p>
    <w:p w:rsidR="00AB5A4B" w:rsidRPr="00AB5A4B" w:rsidRDefault="00AB5A4B" w:rsidP="00AB5A4B">
      <w:r w:rsidRPr="00AB5A4B">
        <w:t>1 флакон в картонной коробке вместе с инструкцией по применению. </w:t>
      </w:r>
    </w:p>
    <w:p w:rsidR="00AB5A4B" w:rsidRPr="00AB5A4B" w:rsidRDefault="00AB5A4B" w:rsidP="00AB5A4B">
      <w:pPr>
        <w:rPr>
          <w:b/>
        </w:rPr>
      </w:pPr>
      <w:r w:rsidRPr="00AB5A4B">
        <w:rPr>
          <w:b/>
        </w:rPr>
        <w:t>Условия хранения</w:t>
      </w:r>
      <w:r>
        <w:rPr>
          <w:b/>
        </w:rPr>
        <w:t xml:space="preserve">: </w:t>
      </w:r>
      <w:r w:rsidRPr="00AB5A4B">
        <w:t xml:space="preserve">Хранить в сухом, защищенном от света месте при температуре не выше 25°С. </w:t>
      </w:r>
    </w:p>
    <w:p w:rsidR="00AB5A4B" w:rsidRPr="00AB5A4B" w:rsidRDefault="00AB5A4B" w:rsidP="00AB5A4B">
      <w:r w:rsidRPr="00AB5A4B">
        <w:t>Хранить в недоступном для детей месте. </w:t>
      </w:r>
    </w:p>
    <w:p w:rsidR="00AB5A4B" w:rsidRPr="00AB5A4B" w:rsidRDefault="00AB5A4B" w:rsidP="00AB5A4B">
      <w:pPr>
        <w:rPr>
          <w:b/>
        </w:rPr>
      </w:pPr>
      <w:r w:rsidRPr="00AB5A4B">
        <w:rPr>
          <w:b/>
        </w:rPr>
        <w:t>Срок годности</w:t>
      </w:r>
      <w:r>
        <w:rPr>
          <w:b/>
        </w:rPr>
        <w:t xml:space="preserve">: </w:t>
      </w:r>
      <w:r w:rsidRPr="00AB5A4B">
        <w:t xml:space="preserve">3 года от даты производства. </w:t>
      </w:r>
    </w:p>
    <w:p w:rsidR="00AB5A4B" w:rsidRPr="00AB5A4B" w:rsidRDefault="00AB5A4B" w:rsidP="00AB5A4B">
      <w:r w:rsidRPr="00AB5A4B">
        <w:t>Не применять по истечении срока годности.  </w:t>
      </w:r>
    </w:p>
    <w:p w:rsidR="00AB5A4B" w:rsidRPr="00AB5A4B" w:rsidRDefault="00AB5A4B" w:rsidP="00AB5A4B">
      <w:pPr>
        <w:rPr>
          <w:b/>
        </w:rPr>
      </w:pPr>
      <w:r w:rsidRPr="00AB5A4B">
        <w:rPr>
          <w:b/>
        </w:rPr>
        <w:t>Условия отпуска из аптек</w:t>
      </w:r>
      <w:r>
        <w:rPr>
          <w:b/>
        </w:rPr>
        <w:t xml:space="preserve">: </w:t>
      </w:r>
      <w:r w:rsidRPr="00AB5A4B">
        <w:t>По рецепту врача.</w:t>
      </w:r>
    </w:p>
    <w:p w:rsidR="00AB5A4B" w:rsidRPr="00AB5A4B" w:rsidRDefault="00AB5A4B" w:rsidP="00AB5A4B">
      <w:pPr>
        <w:rPr>
          <w:b/>
          <w:lang w:val="en-US"/>
        </w:rPr>
      </w:pPr>
      <w:r w:rsidRPr="00AB5A4B">
        <w:rPr>
          <w:b/>
        </w:rPr>
        <w:t>Производитель</w:t>
      </w:r>
      <w:r w:rsidRPr="00AB5A4B">
        <w:rPr>
          <w:b/>
          <w:lang w:val="en-US"/>
        </w:rPr>
        <w:t xml:space="preserve">: </w:t>
      </w:r>
      <w:proofErr w:type="gramStart"/>
      <w:r w:rsidRPr="00AB5A4B">
        <w:rPr>
          <w:b/>
          <w:lang w:val="en-US"/>
        </w:rPr>
        <w:t>AQUILA MEDICARE PVT.</w:t>
      </w:r>
      <w:proofErr w:type="gramEnd"/>
      <w:r w:rsidRPr="00AB5A4B">
        <w:rPr>
          <w:b/>
          <w:lang w:val="en-US"/>
        </w:rPr>
        <w:t xml:space="preserve"> LTD. </w:t>
      </w:r>
      <w:r w:rsidRPr="00AB5A4B">
        <w:rPr>
          <w:lang w:val="en-US"/>
        </w:rPr>
        <w:t xml:space="preserve">5, </w:t>
      </w:r>
      <w:proofErr w:type="spellStart"/>
      <w:r w:rsidRPr="00AB5A4B">
        <w:rPr>
          <w:lang w:val="en-US"/>
        </w:rPr>
        <w:t>Shankeshwar</w:t>
      </w:r>
      <w:proofErr w:type="spellEnd"/>
      <w:r w:rsidRPr="00AB5A4B">
        <w:rPr>
          <w:lang w:val="en-US"/>
        </w:rPr>
        <w:t xml:space="preserve"> Plaza,</w:t>
      </w:r>
      <w:r w:rsidRPr="00AB5A4B">
        <w:rPr>
          <w:b/>
          <w:lang w:val="en-US"/>
        </w:rPr>
        <w:t xml:space="preserve"> </w:t>
      </w:r>
      <w:r w:rsidRPr="00AB5A4B">
        <w:rPr>
          <w:lang w:val="en-US"/>
        </w:rPr>
        <w:t xml:space="preserve">Pin – 421 302, Thane, India </w:t>
      </w:r>
    </w:p>
    <w:p w:rsidR="00B82E63" w:rsidRDefault="00B82E63" w:rsidP="00AB5A4B">
      <w:pPr>
        <w:jc w:val="right"/>
        <w:rPr>
          <w:sz w:val="16"/>
          <w:szCs w:val="16"/>
          <w:lang w:val="en-US"/>
        </w:rPr>
      </w:pPr>
    </w:p>
    <w:p w:rsidR="00F22686" w:rsidRDefault="00F22686" w:rsidP="00B82E63">
      <w:pPr>
        <w:jc w:val="right"/>
        <w:rPr>
          <w:b/>
          <w:sz w:val="18"/>
          <w:szCs w:val="18"/>
          <w:lang w:val="en-US"/>
        </w:rPr>
      </w:pPr>
    </w:p>
    <w:p w:rsidR="00F22686" w:rsidRDefault="00F22686" w:rsidP="00B82E63">
      <w:pPr>
        <w:jc w:val="right"/>
        <w:rPr>
          <w:b/>
          <w:sz w:val="18"/>
          <w:szCs w:val="18"/>
          <w:lang w:val="en-US"/>
        </w:rPr>
      </w:pPr>
    </w:p>
    <w:p w:rsidR="009C62A9" w:rsidRPr="00F22686" w:rsidRDefault="00B82E63" w:rsidP="00B82E63">
      <w:pPr>
        <w:jc w:val="right"/>
        <w:rPr>
          <w:b/>
          <w:sz w:val="32"/>
          <w:szCs w:val="32"/>
          <w:lang w:val="en-US"/>
        </w:rPr>
      </w:pPr>
      <w:r w:rsidRPr="00F22686">
        <w:rPr>
          <w:b/>
          <w:sz w:val="32"/>
          <w:szCs w:val="32"/>
          <w:lang w:val="en-US"/>
        </w:rPr>
        <w:t>AQUA MEDTEK</w:t>
      </w:r>
      <w:r w:rsidR="00AB5A4B" w:rsidRPr="00F22686">
        <w:rPr>
          <w:b/>
          <w:sz w:val="32"/>
          <w:szCs w:val="32"/>
          <w:lang w:val="en-US"/>
        </w:rPr>
        <w:br w:type="page"/>
      </w:r>
    </w:p>
    <w:sectPr w:rsidR="009C62A9" w:rsidRPr="00F22686" w:rsidSect="00AB5A4B">
      <w:pgSz w:w="11906" w:h="16838"/>
      <w:pgMar w:top="340" w:right="624" w:bottom="34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A4B"/>
    <w:rsid w:val="004A5AE9"/>
    <w:rsid w:val="009C62A9"/>
    <w:rsid w:val="00AB5A4B"/>
    <w:rsid w:val="00B82E63"/>
    <w:rsid w:val="00BA0672"/>
    <w:rsid w:val="00C666B5"/>
    <w:rsid w:val="00CC45A0"/>
    <w:rsid w:val="00F2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2010-04-06T10:43:00Z</cp:lastPrinted>
  <dcterms:created xsi:type="dcterms:W3CDTF">2010-04-05T05:39:00Z</dcterms:created>
  <dcterms:modified xsi:type="dcterms:W3CDTF">2010-04-06T10:45:00Z</dcterms:modified>
</cp:coreProperties>
</file>