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AD" w:rsidRDefault="00BC75AD" w:rsidP="002E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D7028" w:rsidRPr="009D7028" w:rsidRDefault="009D7028" w:rsidP="002E2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медицинскому применению препарата</w:t>
      </w:r>
    </w:p>
    <w:p w:rsidR="009D7028" w:rsidRPr="009D7028" w:rsidRDefault="009D7028" w:rsidP="009D70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028">
        <w:rPr>
          <w:rFonts w:ascii="Times New Roman" w:eastAsia="Times New Roman" w:hAnsi="Times New Roman" w:cs="Times New Roman"/>
          <w:b/>
          <w:bCs/>
          <w:sz w:val="28"/>
          <w:szCs w:val="28"/>
        </w:rPr>
        <w:t>ЗЕПАИН</w:t>
      </w:r>
    </w:p>
    <w:p w:rsid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Международное непатентованное название (МНН):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Лекарственная форма: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раствор для внутримышечного и внутривенного введения.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Описание: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прозрачный или слегка желтоватый раствор без посторонних включений.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Состав: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>1 мл раствора содержит</w:t>
      </w:r>
      <w:r w:rsidRPr="009D7028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натрия – 25 мг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бензиловый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 спирт 40 мг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sz w:val="24"/>
          <w:szCs w:val="24"/>
        </w:rPr>
        <w:t>вода для инъекций до 1 мл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Фармакотерапевтическая группа: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Нестероидный противовоспалительный препарат (НПВП)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</w: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Код АТХ: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М01АВ05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Фармакологическое действие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обладает противовоспалительным, обезболивающим и жаропонижающим действием.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Неизбирательно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угнетая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циклооксигеназу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1 и 2, нарушает метаболизм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арахидоновой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кислоты, уменьшает количество простагландинов в очаге воспаления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Фармакокинетика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Время достижения максимальной концентрации при внутримышечном применении в дозе 75 мг – 15-30 мин, величина максимальной концентрации – 1,9-4,8 (в среднем 2,7) мкг/мл. Спустя 3 часа после введения плазменные концентрации составляют в среднем 10% </w:t>
      </w:r>
      <w:proofErr w:type="gramStart"/>
      <w:r w:rsidRPr="009D702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максимальной.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  <w:t xml:space="preserve">Связь с белками плазмы – более 99% (большая часть связывается с альбуминами). Метаболизм происходит в результате </w:t>
      </w:r>
      <w:proofErr w:type="gramStart"/>
      <w:r w:rsidRPr="009D7028">
        <w:rPr>
          <w:rFonts w:ascii="Times New Roman" w:eastAsia="Times New Roman" w:hAnsi="Times New Roman" w:cs="Times New Roman"/>
          <w:sz w:val="24"/>
          <w:szCs w:val="24"/>
        </w:rPr>
        <w:t>многократного</w:t>
      </w:r>
      <w:proofErr w:type="gram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или однократного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гидроксилирования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конъюгирования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глюкуроновой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кислотой. В метаболизме препарата принимает участие ферментная система Р450 CYP2C9. Фармакологическая активность метаболитов ниже, чем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. Системный клиренс составляет 350 мл/мин, объем распределения – 550 мл/кг. Период полувыведения из плазмы –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2 часа. 65% от введенной дозы выводится в виде метаболитов почками; менее 1% выводится в неизмененном виде, остальная часть дозы выводится в виде метаболитов с желчью. У больных с выраженной почечной недостаточностью (клиренс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креатинина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менее 10 мл/мин) увеличивается выведение метаболитов с желчью, при этом увеличения их концентрации в крови не наблюдается. У больных с хроническим гепатитом или компенсированным циррозом печени фармакокинетические параметры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не изменяю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тся. 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проникает в грудное молоко.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 к применению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Для кратковременного лечения болей различного генеза умеренной интенсивности: </w:t>
      </w:r>
    </w:p>
    <w:p w:rsidR="009D7028" w:rsidRPr="009D7028" w:rsidRDefault="009D7028" w:rsidP="009D70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sz w:val="24"/>
          <w:szCs w:val="24"/>
        </w:rPr>
        <w:t>заболевания опорно-двигательного аппарата (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ревматоидный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артрит,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псориатический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ювенильный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хронический артрит,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анкилозирующий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спондилоартрит; подагрический артрит, ревматическое поражение мягких тканей,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остероартроз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периферических суставов и позвоночника, в том числе с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радикулярным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синдромом, тендовагинит, бурсит); </w:t>
      </w:r>
    </w:p>
    <w:p w:rsidR="009D7028" w:rsidRPr="009D7028" w:rsidRDefault="009D7028" w:rsidP="009D70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невралгия, миалгия,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люмбоишиалгия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>, посттравматический болевой синдром, сопровождающийся воспалением</w:t>
      </w:r>
    </w:p>
    <w:p w:rsidR="009D7028" w:rsidRPr="009D7028" w:rsidRDefault="009D7028" w:rsidP="009D70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послеоперационная боль, головная боль, мигрень, </w:t>
      </w:r>
    </w:p>
    <w:p w:rsidR="009D7028" w:rsidRPr="009D7028" w:rsidRDefault="009D7028" w:rsidP="009D70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альгодисменорея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, аднексит, проктит. </w:t>
      </w:r>
    </w:p>
    <w:p w:rsidR="009D7028" w:rsidRPr="009D7028" w:rsidRDefault="009D7028" w:rsidP="009D70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лихорадочный синдром.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D7028">
        <w:rPr>
          <w:rFonts w:ascii="Times New Roman" w:eastAsia="Times New Roman" w:hAnsi="Times New Roman" w:cs="Times New Roman"/>
          <w:sz w:val="24"/>
          <w:szCs w:val="24"/>
        </w:rPr>
        <w:t>Гиперчувствительность (в.т.ч. к др. НПВП), эрозивно-язвенные поражения желудочно-кишечного тракта, «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аспириновая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>» триада, нарушения кроветворения, нарушения гемостаза (в т.ч. гемофилия), бере</w:t>
      </w:r>
      <w:r w:rsidR="00792A98">
        <w:rPr>
          <w:rFonts w:ascii="Times New Roman" w:eastAsia="Times New Roman" w:hAnsi="Times New Roman" w:cs="Times New Roman"/>
          <w:sz w:val="24"/>
          <w:szCs w:val="24"/>
        </w:rPr>
        <w:t>менность, детский возраст (до 1</w:t>
      </w:r>
      <w:r w:rsidR="00792A98" w:rsidRPr="00792A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лет), период лактации. </w:t>
      </w:r>
      <w:proofErr w:type="gramEnd"/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С осторожностью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Анемия, бронхиальная астма, застойная сердечная недостаточность, артериальная гипертензия, отечный синдром, печеночная или почечная недостаточность, алкоголизм, воспалительные заболевания кишечника, эрозивно-язвенные заболевания желудочно-кишечного тракта вне обострения, сахарный диабет, состояние после обширных хирургических вмешательств, индуцируемая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порфирия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, пожилой возраст,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дивертикулит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, системные заболевания соединительной ткани.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применения и дозы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В/в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капельно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>. Максимальная суточная доза - 150 мг. Непосредственно перед в/</w:t>
      </w:r>
      <w:proofErr w:type="gramStart"/>
      <w:r w:rsidRPr="009D702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введением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(содержимое 1 ампулы - 75 мг) следует развести в 100-500 мл 0.9% раствора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или 5% раствора декстрозы (предварительно добавив в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инфузионные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растворы раствор натрия гидрокарбоната - 0.5 мл 8.4% или 1 мл 4.2% раствора). В зависимости от степени выраженности болевого синдрома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инфузию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в течение 30-180 мин. С целью предотвращения послеоперационных болей проводят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инфузию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"ударной" дозой препарата (25-50 мг за 15-60 мин). В дальнейшем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инфузию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продолжают со скоростью 5 мг/ч (до достижения максимальной суточной дозы 150 мг).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Для лечения острых состояний или купирования обострения хронического заболевания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 также в/</w:t>
      </w:r>
      <w:proofErr w:type="gramStart"/>
      <w:r w:rsidRPr="009D702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(однократное) введение, дальнейшее лечение продолжают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пероральным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назначением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с учетом максимальной суточной дозы - 150 мг (в т.ч. и в день инъекции).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Вводится глубоко внутримышечно. Разовая доза для взрослых – 75 мг (1 ампула). При необходимости возможно повторное введение, но не ранее, чем через 12 часов.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</w: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Побочные эффекты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A98">
        <w:rPr>
          <w:rFonts w:ascii="Times New Roman" w:eastAsia="Times New Roman" w:hAnsi="Times New Roman" w:cs="Times New Roman"/>
          <w:sz w:val="24"/>
          <w:szCs w:val="24"/>
        </w:rPr>
        <w:t>Диспепсические  расстройства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пептическая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язва с возможными осложнениями (кровотечение, перфорация), ж</w:t>
      </w:r>
      <w:r w:rsidR="00792A98">
        <w:rPr>
          <w:rFonts w:ascii="Times New Roman" w:eastAsia="Times New Roman" w:hAnsi="Times New Roman" w:cs="Times New Roman"/>
          <w:sz w:val="24"/>
          <w:szCs w:val="24"/>
        </w:rPr>
        <w:t>елудочно-кишечное кровотечение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7028" w:rsidRPr="009D7028" w:rsidRDefault="00792A9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r w:rsidR="009D7028" w:rsidRPr="009D7028">
        <w:rPr>
          <w:rFonts w:ascii="Times New Roman" w:eastAsia="Times New Roman" w:hAnsi="Times New Roman" w:cs="Times New Roman"/>
          <w:sz w:val="24"/>
          <w:szCs w:val="24"/>
        </w:rPr>
        <w:t xml:space="preserve">оловная боль, головокружение. 1% - нарушение сна, сонливость, депрессия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i/>
          <w:iCs/>
          <w:sz w:val="24"/>
          <w:szCs w:val="24"/>
        </w:rPr>
        <w:t>Аллергические реакции:</w:t>
      </w:r>
      <w:r w:rsidR="002E76DE">
        <w:rPr>
          <w:rFonts w:ascii="Times New Roman" w:eastAsia="Times New Roman" w:hAnsi="Times New Roman" w:cs="Times New Roman"/>
          <w:sz w:val="24"/>
          <w:szCs w:val="24"/>
        </w:rPr>
        <w:t xml:space="preserve"> кожный зуд, </w:t>
      </w:r>
    </w:p>
    <w:p w:rsidR="009D7028" w:rsidRPr="002E76DE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Передозировка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Симптомы: рвота, головокружение, головная боль, одышка, помутнение сознания, у детей –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миоклонические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судороги, тошнота, абдоминальная боль, кровотечения, нарушение функции печени и почек.</w:t>
      </w:r>
      <w:proofErr w:type="gram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  <w:t xml:space="preserve">Лечение: симптоматическая терапия, форсированный диурез.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  <w:t xml:space="preserve">Гемодиализ малоэффективен.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другими лекарственными средствами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Снижает эффект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диуретиков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, на фоне калийсберегающих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диуретиков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усиливается риск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гиперкалиемии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; на фоне антикоагулянтов,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тромболитических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средств (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алтеплаза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стрептокиназа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урокиназа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>) – риск кровотечений (чаще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желудочно-кишечного тракта). 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Увеличивает вероятность возникновения побочных эффектов других НПВП и глюкокортикоидных средств (кровотечения в желудочно-кишечном тракте), токсичность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метотрексата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нефротоксичность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циклоспорина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  <w:t xml:space="preserve">Ацетилсалициловая кислота снижает концентрацию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диклофенака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в крови.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  <w:t xml:space="preserve">Уменьшает эффект гипогликемических средств.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Одновременное назначение с этанолом, колхицином, кортикотропином и препаратами зверобоя повышает риск развития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кровоточений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в желудочно-кишечном тракте.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Диклофенак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 усиливает действие препаратов, вызывающих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</w:rPr>
        <w:t>фотосенсибилизацию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br/>
      </w: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выпуск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>По 3 мл в ампулах из темного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стекла.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5 ампул помещены в картонную коробку вместе с инструкцией по применению.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Хранить в сухом, защищенном от света месте при температуре не выше 25 °С.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sz w:val="24"/>
          <w:szCs w:val="24"/>
        </w:rPr>
        <w:t>Хранить в недоступном для детей месте.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годности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3 года. Не использовать по окончании срока годности.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Отпуск из аптек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D7028">
        <w:rPr>
          <w:rFonts w:ascii="Times New Roman" w:eastAsia="Times New Roman" w:hAnsi="Times New Roman" w:cs="Times New Roman"/>
          <w:sz w:val="24"/>
          <w:szCs w:val="24"/>
        </w:rPr>
        <w:t xml:space="preserve">По рецепту. </w:t>
      </w:r>
    </w:p>
    <w:p w:rsidR="009D7028" w:rsidRPr="009D7028" w:rsidRDefault="009D7028" w:rsidP="009D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Производитель</w:t>
      </w:r>
      <w:r w:rsidRPr="009D70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D7028">
        <w:rPr>
          <w:rFonts w:ascii="Times New Roman" w:eastAsia="Times New Roman" w:hAnsi="Times New Roman" w:cs="Times New Roman"/>
          <w:sz w:val="24"/>
          <w:szCs w:val="24"/>
          <w:lang w:val="en-US"/>
        </w:rPr>
        <w:t>AQUILA MEDICARE PVT.</w:t>
      </w:r>
      <w:proofErr w:type="gramEnd"/>
      <w:r w:rsidRPr="009D70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LTD. 5, </w:t>
      </w:r>
      <w:proofErr w:type="spellStart"/>
      <w:r w:rsidRPr="009D7028">
        <w:rPr>
          <w:rFonts w:ascii="Times New Roman" w:eastAsia="Times New Roman" w:hAnsi="Times New Roman" w:cs="Times New Roman"/>
          <w:sz w:val="24"/>
          <w:szCs w:val="24"/>
          <w:lang w:val="en-US"/>
        </w:rPr>
        <w:t>Shankeshwar</w:t>
      </w:r>
      <w:proofErr w:type="spellEnd"/>
      <w:r w:rsidRPr="009D70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Plaza, Pin – 421 302, Thane, India</w:t>
      </w:r>
    </w:p>
    <w:p w:rsidR="002E2028" w:rsidRDefault="002E2028" w:rsidP="002E20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028" w:rsidRPr="002E2028" w:rsidRDefault="002E2028" w:rsidP="002E202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E2028">
        <w:rPr>
          <w:rFonts w:ascii="Times New Roman" w:hAnsi="Times New Roman" w:cs="Times New Roman"/>
          <w:b/>
          <w:sz w:val="32"/>
          <w:szCs w:val="32"/>
          <w:lang w:val="en-US"/>
        </w:rPr>
        <w:t>AQUA MEDTEK</w:t>
      </w:r>
    </w:p>
    <w:p w:rsidR="009C62A9" w:rsidRPr="009D7028" w:rsidRDefault="009C62A9">
      <w:pPr>
        <w:rPr>
          <w:lang w:val="en-US"/>
        </w:rPr>
      </w:pPr>
    </w:p>
    <w:sectPr w:rsidR="009C62A9" w:rsidRPr="009D7028" w:rsidSect="002E2028">
      <w:pgSz w:w="11906" w:h="16838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47F9"/>
    <w:multiLevelType w:val="hybridMultilevel"/>
    <w:tmpl w:val="EE8C0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028"/>
    <w:rsid w:val="002E2028"/>
    <w:rsid w:val="002E76DE"/>
    <w:rsid w:val="00354B2E"/>
    <w:rsid w:val="004A5AE9"/>
    <w:rsid w:val="00707081"/>
    <w:rsid w:val="00792A98"/>
    <w:rsid w:val="008510CD"/>
    <w:rsid w:val="00947A29"/>
    <w:rsid w:val="009C62A9"/>
    <w:rsid w:val="009D7028"/>
    <w:rsid w:val="00B43056"/>
    <w:rsid w:val="00BC75AD"/>
    <w:rsid w:val="00F0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dualcom</cp:lastModifiedBy>
  <cp:revision>7</cp:revision>
  <cp:lastPrinted>2010-04-06T10:50:00Z</cp:lastPrinted>
  <dcterms:created xsi:type="dcterms:W3CDTF">2010-04-05T05:49:00Z</dcterms:created>
  <dcterms:modified xsi:type="dcterms:W3CDTF">2011-06-17T07:34:00Z</dcterms:modified>
</cp:coreProperties>
</file>